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D7707">
      <w:pPr>
        <w:autoSpaceDE w:val="0"/>
        <w:autoSpaceDN w:val="0"/>
        <w:adjustRightInd w:val="0"/>
        <w:snapToGrid w:val="0"/>
        <w:spacing w:line="360" w:lineRule="auto"/>
        <w:jc w:val="center"/>
        <w:textAlignment w:val="baseline"/>
        <w:rPr>
          <w:rFonts w:hint="eastAsia" w:ascii="方正小标宋简体" w:hAnsi="方正小标宋简体" w:eastAsia="方正小标宋简体" w:cs="方正小标宋简体"/>
          <w:b w:val="0"/>
          <w:bCs/>
          <w:kern w:val="0"/>
          <w:sz w:val="44"/>
          <w:szCs w:val="44"/>
          <w:shd w:val="clear" w:color="auto" w:fill="FFFFFF"/>
          <w:lang w:val="en-US" w:eastAsia="zh-CN"/>
        </w:rPr>
      </w:pPr>
      <w:r>
        <w:rPr>
          <w:rFonts w:hint="eastAsia" w:ascii="方正小标宋简体" w:hAnsi="方正小标宋简体" w:eastAsia="方正小标宋简体" w:cs="方正小标宋简体"/>
          <w:b w:val="0"/>
          <w:bCs/>
          <w:kern w:val="0"/>
          <w:sz w:val="44"/>
          <w:szCs w:val="44"/>
          <w:shd w:val="clear" w:color="auto" w:fill="FFFFFF"/>
          <w:lang w:val="en-US" w:eastAsia="zh-CN"/>
        </w:rPr>
        <w:t>第十三讲  安宁疗护终末期治疗概述</w:t>
      </w:r>
    </w:p>
    <w:p w14:paraId="03AE9DE9">
      <w:pPr>
        <w:keepNext w:val="0"/>
        <w:keepLines w:val="0"/>
        <w:pageBreakBefore w:val="0"/>
        <w:kinsoku/>
        <w:wordWrap/>
        <w:overflowPunct/>
        <w:topLinePunct w:val="0"/>
        <w:autoSpaceDE w:val="0"/>
        <w:autoSpaceDN w:val="0"/>
        <w:bidi w:val="0"/>
        <w:adjustRightInd w:val="0"/>
        <w:snapToGrid w:val="0"/>
        <w:spacing w:line="590" w:lineRule="exact"/>
        <w:ind w:firstLine="1920" w:firstLineChars="6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福建省级机关医院   </w:t>
      </w:r>
      <w:bookmarkStart w:id="0" w:name="_GoBack"/>
      <w:bookmarkEnd w:id="0"/>
      <w:r>
        <w:rPr>
          <w:rFonts w:hint="eastAsia" w:ascii="仿宋_GB2312" w:hAnsi="仿宋_GB2312" w:eastAsia="仿宋_GB2312" w:cs="仿宋_GB2312"/>
          <w:sz w:val="32"/>
          <w:szCs w:val="32"/>
          <w:lang w:val="en-US" w:eastAsia="zh-CN"/>
        </w:rPr>
        <w:t>宋世伟</w:t>
      </w:r>
    </w:p>
    <w:p w14:paraId="0EF72857">
      <w:pPr>
        <w:keepNext w:val="0"/>
        <w:keepLines w:val="0"/>
        <w:pageBreakBefore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sz w:val="32"/>
          <w:szCs w:val="32"/>
          <w:lang w:val="en-US" w:eastAsia="zh-CN"/>
        </w:rPr>
      </w:pPr>
    </w:p>
    <w:p w14:paraId="5A318BF0">
      <w:pPr>
        <w:keepNext w:val="0"/>
        <w:keepLines w:val="0"/>
        <w:pageBreakBefore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sz w:val="32"/>
          <w:szCs w:val="32"/>
        </w:rPr>
        <w:t>安宁疗护实践以终末期患者和家属为中心，以多学科协作模式进行，</w:t>
      </w:r>
      <w:r>
        <w:rPr>
          <w:rFonts w:hint="eastAsia" w:ascii="仿宋_GB2312" w:hAnsi="仿宋_GB2312" w:eastAsia="仿宋_GB2312" w:cs="仿宋_GB2312"/>
          <w:sz w:val="32"/>
          <w:szCs w:val="32"/>
          <w:lang w:val="en-US" w:eastAsia="zh-CN"/>
        </w:rPr>
        <w:t>合理规范处置终末期不适症状，避免减少不必要的干预给患者及家属带来身心负担至关重要</w:t>
      </w:r>
      <w:r>
        <w:rPr>
          <w:rFonts w:hint="eastAsia" w:ascii="仿宋_GB2312" w:hAnsi="仿宋_GB2312" w:eastAsia="仿宋_GB2312" w:cs="仿宋_GB2312"/>
          <w:sz w:val="32"/>
          <w:szCs w:val="32"/>
        </w:rPr>
        <w:t>。</w:t>
      </w:r>
    </w:p>
    <w:p w14:paraId="296A23BE">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（一）疼痛</w:t>
      </w:r>
    </w:p>
    <w:p w14:paraId="7A981CA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7D8C6ED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（1）结合疼痛的原因（如躯体性、心因性、社会性等）及患者和家属意愿，制定个体化疼痛治疗方案。</w:t>
      </w:r>
    </w:p>
    <w:p w14:paraId="1F2D12B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药物治疗包括非甾体类抗炎药、对乙酰氨基酚、阿片类药物等。阿片类药物是终末期患者中重度疼痛治疗的常用药物。长期使用时，首选口服给药，有明确指征时可选用透皮吸收途径给药，也可临时皮下注射等方式给药，必要时患者自控镇痛泵给药。同时要避免药物滥用和突然中断阿片类药物引发戒断综合征。</w:t>
      </w:r>
    </w:p>
    <w:p w14:paraId="6389ADE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（3）药物治疗时，要注意预防药物的不良反应，应尽早识别并处理，及时调整药物剂量、剂型、种类和联合用药。确保临床安全及治疗效果。</w:t>
      </w:r>
    </w:p>
    <w:p w14:paraId="5855E47F">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（4）结合病情给予必要的非药物治疗，包括放松疗法、芳香疗法、音乐疗法等。</w:t>
      </w:r>
    </w:p>
    <w:p w14:paraId="7C601C7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（5）当患者出现爆发痛时，应简化评估流程，及时足量给药，控制疼痛症状。</w:t>
      </w:r>
    </w:p>
    <w:p w14:paraId="1BAF09AE">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（6）难治性疼痛应进行多学科会诊。</w:t>
      </w:r>
    </w:p>
    <w:p w14:paraId="581C8DA0">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3A2FAE4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（1）根据疼痛的部位，协助患者采取舒适的体位。</w:t>
      </w:r>
    </w:p>
    <w:p w14:paraId="4E83E51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（2）遵医嘱给药，并密切观察药物疗效和不良反应。</w:t>
      </w:r>
    </w:p>
    <w:p w14:paraId="78DA8CBE">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做好用药相关指导，了解患者的顾虑和担忧，提高患者用药依从性。鼓励患者表达疼痛感受，指导患者使用正确、合适的疼痛评估工具。告知患者及家属疼痛的原因或诱因及减轻和避免疼痛的其他方法，包括音乐疗法、注意力分散法、自我暗示法等放松技巧。</w:t>
      </w:r>
    </w:p>
    <w:p w14:paraId="06711790">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highlight w:val="green"/>
          <w:lang w:val="en-US" w:eastAsia="zh-CN" w:bidi="ar-SA"/>
        </w:rPr>
      </w:pPr>
      <w:r>
        <w:rPr>
          <w:rFonts w:hint="eastAsia" w:ascii="仿宋_GB2312" w:hAnsi="仿宋_GB2312" w:eastAsia="仿宋_GB2312" w:cs="仿宋_GB2312"/>
          <w:b/>
          <w:bCs/>
          <w:snapToGrid w:val="0"/>
          <w:kern w:val="0"/>
          <w:sz w:val="32"/>
          <w:szCs w:val="32"/>
          <w:lang w:val="en-US" w:eastAsia="en-US" w:bidi="ar-SA"/>
        </w:rPr>
        <w:t>（二）呼吸困难</w:t>
      </w:r>
    </w:p>
    <w:p w14:paraId="456B6AA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5C6D89E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（1）尊重患者意愿和自主性，与患者及家属共同决策，制定治疗方案。</w:t>
      </w:r>
    </w:p>
    <w:p w14:paraId="67A0D0FF">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（2）寻找呼吸困难的原因，同时应采取有效措施缓解症状。</w:t>
      </w:r>
    </w:p>
    <w:p w14:paraId="385283AC">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（3）呼吸困难最佳的治疗措施为治疗原发疾病，保持气道通畅，保证机体氧气供应。</w:t>
      </w:r>
    </w:p>
    <w:p w14:paraId="189D109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（4）难治性呼吸困难可以使用吗啡等阿片类药物。使用此类药物时，要避免药物滥用和突然中断药物引发戒断综合征，避免引起呼吸中枢抑制。</w:t>
      </w:r>
    </w:p>
    <w:p w14:paraId="5F35E1D7">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（5）根据药物疗效和不良反应合理调整药物剂量、种类和联合用药。</w:t>
      </w:r>
    </w:p>
    <w:p w14:paraId="050ABD8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（6）结合病情给予必要的非药物治疗改善呼吸困难，如吸氧、吸痰、改变体位、改善空气流通、风扇疗法等。</w:t>
      </w:r>
    </w:p>
    <w:p w14:paraId="1A8FA35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317CD6B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（1）根据患者病情协助调整体位，并观察患者面容、呼吸频率及外周血氧饱和度变化等。</w:t>
      </w:r>
    </w:p>
    <w:p w14:paraId="74187FD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（2）根据病情的严重程度及患者实际情况选择合理的氧疗,保持气道湿润、通畅。</w:t>
      </w:r>
    </w:p>
    <w:p w14:paraId="4F3C739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kern w:val="2"/>
          <w:sz w:val="32"/>
          <w:szCs w:val="32"/>
          <w:lang w:val="en-US" w:eastAsia="zh-CN" w:bidi="ar-SA"/>
        </w:rPr>
        <w:t>（3）开展健康宣教，指导患者正确使用呼吸困难评估工具，告知患者及家属呼吸困难的原因或诱因及减轻和避免呼吸困难的方法，指导患者有计划地进行休息和活动，缓解患者及家属焦虑等情绪。</w:t>
      </w:r>
    </w:p>
    <w:p w14:paraId="5DFE5ABB">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（三）咳嗽</w:t>
      </w:r>
      <w:r>
        <w:rPr>
          <w:rFonts w:hint="eastAsia" w:ascii="仿宋_GB2312" w:hAnsi="仿宋_GB2312" w:eastAsia="仿宋_GB2312" w:cs="仿宋_GB2312"/>
          <w:b/>
          <w:bCs/>
          <w:snapToGrid w:val="0"/>
          <w:kern w:val="0"/>
          <w:sz w:val="32"/>
          <w:szCs w:val="32"/>
          <w:lang w:val="en-US" w:eastAsia="zh-CN" w:bidi="ar-SA"/>
        </w:rPr>
        <w:t>、</w:t>
      </w:r>
      <w:r>
        <w:rPr>
          <w:rFonts w:hint="eastAsia" w:ascii="仿宋_GB2312" w:hAnsi="仿宋_GB2312" w:eastAsia="仿宋_GB2312" w:cs="仿宋_GB2312"/>
          <w:b/>
          <w:bCs/>
          <w:snapToGrid w:val="0"/>
          <w:kern w:val="0"/>
          <w:sz w:val="32"/>
          <w:szCs w:val="32"/>
          <w:lang w:val="en-US" w:eastAsia="en-US" w:bidi="ar-SA"/>
        </w:rPr>
        <w:t>咳痰</w:t>
      </w:r>
    </w:p>
    <w:p w14:paraId="17663071">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70FD566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寻找咳嗽的原因并进行治疗，如抗菌药物治疗呼吸道感染，激素及支气管扩张剂治疗哮喘，调整体位或利尿剂改善心力衰竭，质子泵抑制剂治疗胃食管反流，抗胆碱能药物治疗唾液过多，抗组胺药物治疗后鼻滴涕等。</w:t>
      </w:r>
    </w:p>
    <w:p w14:paraId="12D076C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（2）应结合疾病情况，适时使用吗啡等阿片类药物，需告知患者或家属存在呼吸抑制、恶心、呕吐、便秘等不良反应；如阿片类药物疗效不佳，可选择色苷酸钠、加巴喷丁、地西泮、巴氯芬等其他药物。</w:t>
      </w:r>
    </w:p>
    <w:p w14:paraId="4C3BA3DC">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（3）根据药物疗效和不良反应合理调整药物剂量、种类和联合用药。</w:t>
      </w:r>
    </w:p>
    <w:p w14:paraId="18F1018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（4）对于存在喉鸣的患者，在限制液体摄入量的同时，通过减少口腔吸引频次、调整体位（如侧卧位）等方法缓解症状，若分泌物持续增多，可应用抑制气道分泌物生成的药物。</w:t>
      </w:r>
    </w:p>
    <w:p w14:paraId="5ABC52D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1F662C0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（1）指导患者掌握正确的咳嗽方法，正确配合雾化吸入。</w:t>
      </w:r>
    </w:p>
    <w:p w14:paraId="59907000">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（2）促进有效排痰，包括深呼吸、有效咳嗽、雾化疗法等。咯血、气胸、心脏病风险较高的患者，应谨慎实施拍背、吸痰操作。</w:t>
      </w:r>
    </w:p>
    <w:p w14:paraId="40DE046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（3）记录痰液的颜色、性质和量，遵医嘱正确留取痰标本并送检。</w:t>
      </w:r>
    </w:p>
    <w:p w14:paraId="45BAB42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及时清理患者口腔内的分泌物，操作时动作轻柔，避免频繁吸引。通过改变患者体位（如侧卧位）、合理控制液体摄入量等方法缓解症状。患者出现喉鸣时，不宜深部吸痰，防止增加其痛苦，并做好家属的安抚工作</w:t>
      </w:r>
    </w:p>
    <w:p w14:paraId="11F77F2E">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（四）出血</w:t>
      </w:r>
    </w:p>
    <w:p w14:paraId="24E28B8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2872EA6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（1）根据病情，停用可能引发出血或增加出血的药物。</w:t>
      </w:r>
    </w:p>
    <w:p w14:paraId="0AA8466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（2）积极控制少量出血，预防再次出血。</w:t>
      </w:r>
    </w:p>
    <w:p w14:paraId="5E7A049F">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（3）针对大出血患者，在符合患者和家庭治疗意愿的前提下，结合治疗目标和方案，缓解出血引发的症状，避免刻意采取输血、气管插管等延长生命的抢救措施。</w:t>
      </w:r>
    </w:p>
    <w:p w14:paraId="07F69D2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6F97E73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（1）观察并记录出血的部位、颜色、量、性状及伴随症状等。</w:t>
      </w:r>
    </w:p>
    <w:p w14:paraId="4F1659D7">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（2）保持咯血、呕血患者气道通畅，及时清理口鼻腔血液。床旁备吸引器。</w:t>
      </w:r>
    </w:p>
    <w:p w14:paraId="57751AE7">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（3）安抚患者及家属，缓解其紧张和恐惧等情绪。</w:t>
      </w:r>
    </w:p>
    <w:p w14:paraId="7D899D6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（4）监测患者意识状态及生命体征变化，必要时记录出入量。</w:t>
      </w:r>
    </w:p>
    <w:p w14:paraId="636947F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（5）根据病情及医嘱给予相应饮食指导，呕血、便血期间遵医嘱禁止饮食。</w:t>
      </w:r>
    </w:p>
    <w:p w14:paraId="4FF6F1F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（6）针对大出血患者，准备深色毛巾，擦拭或覆盖血液，避免视觉刺激。</w:t>
      </w:r>
    </w:p>
    <w:p w14:paraId="04BD8145">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（五）恶心、呕吐</w:t>
      </w:r>
    </w:p>
    <w:p w14:paraId="3305181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39E3770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尽早纠正恶心、呕吐的原因，使用对症处理药物，包括因化学感受器刺激（如高钙、药物、细菌毒素、尿毒症等）所致，可使用氟哌啶醇；因化学治疗所致，可使用昂丹司琼、格拉司琼、阿瑞匹坦；因胃排空延迟所致，可使用多潘立酮、甲氧氯普胺；因前庭系统所致，可使用苯海拉明；因胃食管返流或溃疡所致，可使用</w:t>
      </w:r>
      <w:r>
        <w:rPr>
          <w:rFonts w:hint="eastAsia" w:ascii="仿宋_GB2312" w:hAnsi="仿宋_GB2312" w:eastAsia="仿宋_GB2312" w:cs="仿宋_GB2312"/>
          <w:color w:val="000000"/>
          <w:kern w:val="2"/>
          <w:sz w:val="32"/>
          <w:szCs w:val="32"/>
          <w:lang w:val="en-US" w:eastAsia="zh-CN" w:bidi="ar-SA"/>
        </w:rPr>
        <w:t>H2-</w:t>
      </w:r>
      <w:r>
        <w:rPr>
          <w:rFonts w:hint="eastAsia" w:ascii="仿宋_GB2312" w:hAnsi="仿宋_GB2312" w:eastAsia="仿宋_GB2312" w:cs="仿宋_GB2312"/>
          <w:kern w:val="2"/>
          <w:sz w:val="32"/>
          <w:szCs w:val="32"/>
          <w:lang w:val="en-US" w:eastAsia="zh-CN" w:bidi="ar-SA"/>
        </w:rPr>
        <w:t>受体拮抗剂、质子泵抑制剂；因颅内压增高所致，可使用地塞米松；因肿瘤并发机械性肠梗阻所致，可使用地塞米松、奥曲肽等。</w:t>
      </w:r>
    </w:p>
    <w:p w14:paraId="153E2741">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（2）重视非药物治疗，包括腹部按摩、音乐疗法、芳香疗法、心理治疗（如认知行为治疗、催眠治疗）等。</w:t>
      </w:r>
    </w:p>
    <w:p w14:paraId="04B5224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（3）在符合患者及家属治疗意愿的前提下，可酌情实施必要的侵入性操作，如胃肠减压管置入等。</w:t>
      </w:r>
    </w:p>
    <w:p w14:paraId="631C137E">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36239A6E">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（1）协助患者取坐位或侧卧位，预防误吸。</w:t>
      </w:r>
    </w:p>
    <w:p w14:paraId="67EC6CF1">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（2）呕吐后及时漱口，及时清理呕吐物，更换清洁床单和衣裤。</w:t>
      </w:r>
    </w:p>
    <w:p w14:paraId="09DE4BC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（3）剧烈呕吐时暂禁食，遵医嘱补充水分和电解质。</w:t>
      </w:r>
    </w:p>
    <w:p w14:paraId="252ED3E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（4）指导患者及家属缓解恶心的方法，如芳香疗法等。</w:t>
      </w:r>
    </w:p>
    <w:p w14:paraId="6F923E5B">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w:t>
      </w:r>
      <w:r>
        <w:rPr>
          <w:rFonts w:hint="eastAsia" w:ascii="仿宋_GB2312" w:hAnsi="仿宋_GB2312" w:eastAsia="仿宋_GB2312" w:cs="仿宋_GB2312"/>
          <w:b/>
          <w:bCs/>
          <w:snapToGrid w:val="0"/>
          <w:kern w:val="0"/>
          <w:sz w:val="32"/>
          <w:szCs w:val="32"/>
          <w:lang w:val="en-US" w:eastAsia="zh-CN" w:bidi="ar-SA"/>
        </w:rPr>
        <w:t>六</w:t>
      </w:r>
      <w:r>
        <w:rPr>
          <w:rFonts w:hint="eastAsia" w:ascii="仿宋_GB2312" w:hAnsi="仿宋_GB2312" w:eastAsia="仿宋_GB2312" w:cs="仿宋_GB2312"/>
          <w:b/>
          <w:bCs/>
          <w:snapToGrid w:val="0"/>
          <w:kern w:val="0"/>
          <w:sz w:val="32"/>
          <w:szCs w:val="32"/>
          <w:lang w:val="en-US" w:eastAsia="en-US" w:bidi="ar-SA"/>
        </w:rPr>
        <w:t>）</w:t>
      </w:r>
      <w:r>
        <w:rPr>
          <w:rFonts w:hint="eastAsia" w:ascii="仿宋_GB2312" w:hAnsi="仿宋_GB2312" w:eastAsia="仿宋_GB2312" w:cs="仿宋_GB2312"/>
          <w:b/>
          <w:bCs/>
          <w:snapToGrid w:val="0"/>
          <w:kern w:val="0"/>
          <w:sz w:val="32"/>
          <w:szCs w:val="32"/>
          <w:lang w:val="en-US" w:eastAsia="zh-CN" w:bidi="ar-SA"/>
        </w:rPr>
        <w:t>腹胀</w:t>
      </w:r>
    </w:p>
    <w:p w14:paraId="70E708A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0964AB95">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（1）寻找原因及干预措施，如调整肠内营养种类、温度，停用或调整可能导致腹胀的药物等。</w:t>
      </w:r>
    </w:p>
    <w:p w14:paraId="0BA22AAC">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（2）必要时调整营养支持方式，根据病情给予胃肠减压、灌肠通便、补充电解质等处理。</w:t>
      </w:r>
    </w:p>
    <w:p w14:paraId="436E4E7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（3）可运用非药物治疗缓解症状，如热敷、按摩等。</w:t>
      </w:r>
    </w:p>
    <w:p w14:paraId="537D46A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14B4D67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（1）根据病情协助患者采取舒适体位或行腹部按摩等方法减轻腹胀。</w:t>
      </w:r>
    </w:p>
    <w:p w14:paraId="41E70F4F">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（2）遵医嘱给予相应治疗措施，观察并记录疗效和不良反应。</w:t>
      </w:r>
    </w:p>
    <w:p w14:paraId="096C10F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（3）指导患者合理饮食，适当运动。</w:t>
      </w:r>
    </w:p>
    <w:p w14:paraId="06BF29C4">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w:t>
      </w:r>
      <w:r>
        <w:rPr>
          <w:rFonts w:hint="eastAsia" w:ascii="仿宋_GB2312" w:hAnsi="仿宋_GB2312" w:eastAsia="仿宋_GB2312" w:cs="仿宋_GB2312"/>
          <w:b/>
          <w:bCs/>
          <w:snapToGrid w:val="0"/>
          <w:kern w:val="0"/>
          <w:sz w:val="32"/>
          <w:szCs w:val="32"/>
          <w:lang w:val="en-US" w:eastAsia="zh-CN" w:bidi="ar-SA"/>
        </w:rPr>
        <w:t>七</w:t>
      </w:r>
      <w:r>
        <w:rPr>
          <w:rFonts w:hint="eastAsia" w:ascii="仿宋_GB2312" w:hAnsi="仿宋_GB2312" w:eastAsia="仿宋_GB2312" w:cs="仿宋_GB2312"/>
          <w:b/>
          <w:bCs/>
          <w:snapToGrid w:val="0"/>
          <w:kern w:val="0"/>
          <w:sz w:val="32"/>
          <w:szCs w:val="32"/>
          <w:lang w:val="en-US" w:eastAsia="en-US" w:bidi="ar-SA"/>
        </w:rPr>
        <w:t>）水肿</w:t>
      </w:r>
    </w:p>
    <w:p w14:paraId="6BD0B20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en-US" w:bidi="ar-SA"/>
        </w:rPr>
        <w:t>1.</w:t>
      </w:r>
      <w:r>
        <w:rPr>
          <w:rFonts w:hint="eastAsia" w:ascii="仿宋_GB2312" w:hAnsi="仿宋_GB2312" w:eastAsia="仿宋_GB2312" w:cs="仿宋_GB2312"/>
          <w:kern w:val="2"/>
          <w:sz w:val="32"/>
          <w:szCs w:val="32"/>
          <w:lang w:val="en-US" w:eastAsia="zh-CN" w:bidi="ar-SA"/>
        </w:rPr>
        <w:t>治疗原则</w:t>
      </w:r>
    </w:p>
    <w:p w14:paraId="5F1880F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（1）针对水肿的原因进行治疗，停用或调整可能导致水肿的药物。</w:t>
      </w:r>
    </w:p>
    <w:p w14:paraId="7A80D15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（2）非药物治疗方法包括限制液体摄入量、改变体位、抬高肢体等。</w:t>
      </w:r>
    </w:p>
    <w:p w14:paraId="379686F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7D01CD87">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（1）抬高患者水肿部位。</w:t>
      </w:r>
    </w:p>
    <w:p w14:paraId="1ECC2DD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（2）加强皮肤护理，保持清洁、干燥，避免发生感染，必要时涂抹保湿乳霜。</w:t>
      </w:r>
    </w:p>
    <w:p w14:paraId="1AA06E8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（3）轻度水肿患者应适当限制活动，重度水肿患者需取适宜体位卧床休息。</w:t>
      </w:r>
    </w:p>
    <w:p w14:paraId="749828C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（4）定时监测体重和观察病情变化，必要时记录出入量及水肿部位围度。</w:t>
      </w:r>
    </w:p>
    <w:p w14:paraId="560D515F">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（5）限制钠盐和水分的摄入，根据病情摄入适当蛋白质。</w:t>
      </w:r>
    </w:p>
    <w:p w14:paraId="16A8E6B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（6）遵医嘱使用利尿剂等药物，观察药物疗效及不良反应。</w:t>
      </w:r>
    </w:p>
    <w:p w14:paraId="5298EC6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（7）为患者翻身时应注意动作轻柔，避免在水肿部位进行负重、穿刺、测量血压等操作。</w:t>
      </w:r>
    </w:p>
    <w:p w14:paraId="5AB4E91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（8）预防水肿部位出现压力性损伤，保持皮肤完整性。</w:t>
      </w:r>
    </w:p>
    <w:p w14:paraId="5F167132">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cs="仿宋_GB2312"/>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w:t>
      </w:r>
      <w:r>
        <w:rPr>
          <w:rFonts w:hint="eastAsia" w:ascii="仿宋_GB2312" w:hAnsi="仿宋_GB2312" w:eastAsia="仿宋_GB2312" w:cs="仿宋_GB2312"/>
          <w:b/>
          <w:bCs/>
          <w:snapToGrid w:val="0"/>
          <w:kern w:val="0"/>
          <w:sz w:val="32"/>
          <w:szCs w:val="32"/>
          <w:lang w:val="en-US" w:eastAsia="zh-CN" w:bidi="ar-SA"/>
        </w:rPr>
        <w:t>八</w:t>
      </w:r>
      <w:r>
        <w:rPr>
          <w:rFonts w:hint="eastAsia" w:ascii="仿宋_GB2312" w:hAnsi="仿宋_GB2312" w:eastAsia="仿宋_GB2312" w:cs="仿宋_GB2312"/>
          <w:b/>
          <w:bCs/>
          <w:snapToGrid w:val="0"/>
          <w:kern w:val="0"/>
          <w:sz w:val="32"/>
          <w:szCs w:val="32"/>
          <w:lang w:val="en-US" w:eastAsia="en-US" w:bidi="ar-SA"/>
        </w:rPr>
        <w:t>）发热</w:t>
      </w:r>
      <w:r>
        <w:rPr>
          <w:rFonts w:hint="eastAsia" w:ascii="仿宋_GB2312" w:hAnsi="仿宋_GB2312" w:cs="仿宋_GB2312"/>
          <w:b/>
          <w:bCs/>
          <w:snapToGrid w:val="0"/>
          <w:kern w:val="0"/>
          <w:sz w:val="32"/>
          <w:szCs w:val="32"/>
          <w:lang w:val="en-US" w:eastAsia="zh-CN" w:bidi="ar-SA"/>
        </w:rPr>
        <w:t xml:space="preserve">   </w:t>
      </w:r>
      <w:r>
        <w:rPr>
          <w:rFonts w:hint="eastAsia" w:ascii="仿宋_GB2312" w:hAnsi="仿宋_GB2312" w:cs="仿宋_GB2312"/>
          <w:snapToGrid w:val="0"/>
          <w:kern w:val="0"/>
          <w:sz w:val="32"/>
          <w:szCs w:val="32"/>
          <w:lang w:val="en-US" w:eastAsia="zh-CN" w:bidi="ar-SA"/>
        </w:rPr>
        <w:t xml:space="preserve">      </w:t>
      </w:r>
    </w:p>
    <w:p w14:paraId="1F0FDBB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45D3FF8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（1）明确原因，控制原发病。</w:t>
      </w:r>
    </w:p>
    <w:p w14:paraId="54276631">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（2）以物理降温为主，谨慎使用退热药物。</w:t>
      </w:r>
    </w:p>
    <w:p w14:paraId="22F72C71">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（3）注意补充水分、热量和保持电解质平衡。</w:t>
      </w:r>
    </w:p>
    <w:p w14:paraId="524536A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2F42FEDE">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（1）低热时以温水擦浴等物理降温方式为主，中高热时适度使用退热药物，高热患者应给予物理降温或遵医嘱使用药物降温，高热或超高热可考虑冰帽、冰毯和/或冬眠疗法。</w:t>
      </w:r>
    </w:p>
    <w:p w14:paraId="361DF8BC">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（2）在降温过程中，保持皮肤干燥舒适，及时更换清洁的衣裤和床单。</w:t>
      </w:r>
    </w:p>
    <w:p w14:paraId="19EAC15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（3）注意观察患者在降温过程中及降温后的反应，避免虚脱。</w:t>
      </w:r>
    </w:p>
    <w:p w14:paraId="7DFB3C3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（4）降温30分钟后复测患者体温。</w:t>
      </w:r>
    </w:p>
    <w:p w14:paraId="1198D01B">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w:t>
      </w:r>
      <w:r>
        <w:rPr>
          <w:rFonts w:hint="eastAsia" w:ascii="仿宋_GB2312" w:hAnsi="仿宋_GB2312" w:eastAsia="仿宋_GB2312" w:cs="仿宋_GB2312"/>
          <w:b/>
          <w:bCs/>
          <w:snapToGrid w:val="0"/>
          <w:kern w:val="0"/>
          <w:sz w:val="32"/>
          <w:szCs w:val="32"/>
          <w:lang w:val="en-US" w:eastAsia="zh-CN" w:bidi="ar-SA"/>
        </w:rPr>
        <w:t>九</w:t>
      </w:r>
      <w:r>
        <w:rPr>
          <w:rFonts w:hint="eastAsia" w:ascii="仿宋_GB2312" w:hAnsi="仿宋_GB2312" w:eastAsia="仿宋_GB2312" w:cs="仿宋_GB2312"/>
          <w:b/>
          <w:bCs/>
          <w:snapToGrid w:val="0"/>
          <w:kern w:val="0"/>
          <w:sz w:val="32"/>
          <w:szCs w:val="32"/>
          <w:lang w:val="en-US" w:eastAsia="en-US" w:bidi="ar-SA"/>
        </w:rPr>
        <w:t>）厌食</w:t>
      </w:r>
    </w:p>
    <w:p w14:paraId="337A6BA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12C8CB35">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（1）根据病情、患者及家属的意愿选择适合的营养支持方式，如经口、鼻饲、胃空肠造瘘管饲或静脉营养等。</w:t>
      </w:r>
    </w:p>
    <w:p w14:paraId="791EBDF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（2）可给予改善食欲的药物治疗。</w:t>
      </w:r>
    </w:p>
    <w:p w14:paraId="06FF312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（3）患有口腔疾病且具备干预条件的患者，可优先考虑治疗口腔疾病。</w:t>
      </w:r>
    </w:p>
    <w:p w14:paraId="52064120">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28F78D1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（1）尊重患者意愿，做好与患者及家属的沟通，减轻因厌食引发的焦虑问题。</w:t>
      </w:r>
    </w:p>
    <w:p w14:paraId="46ACE5CF">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（2）指导患者及家属掌握正确的进食、食物搭配技巧。</w:t>
      </w:r>
    </w:p>
    <w:p w14:paraId="3DC5B576">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（十）口干</w:t>
      </w:r>
    </w:p>
    <w:p w14:paraId="29C79EFC">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1F4F780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寻找口干的原因，包括疾病因素（如头颈部肿瘤、干燥综合征、糖尿病、甲状腺功能减退、自主神经病等）、药物因素（如抗组胺药、抗胆碱能药、降压药、抗抑郁药、利尿剂、阿片类药物、抗菌药物等）、治疗因素等，并进行针对性治疗。</w:t>
      </w:r>
    </w:p>
    <w:p w14:paraId="1B78733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（2）重视非药物治疗，如使用冰块、喷雾等。</w:t>
      </w:r>
    </w:p>
    <w:p w14:paraId="0E1369B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（3）必要时采取药物治疗改善症状。</w:t>
      </w:r>
    </w:p>
    <w:p w14:paraId="0DDBA34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3749107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（1）调整室内适宜温湿度，避免空气干燥。</w:t>
      </w:r>
    </w:p>
    <w:p w14:paraId="18742A95">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（2）加强口腔护理，避免粗暴的口腔护理操作（如强行剥脱血痂、表面覆膜等），警惕润滑液误吸情况。</w:t>
      </w:r>
    </w:p>
    <w:p w14:paraId="2F90D66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（3）指导患者掌握正确的含漱方法。</w:t>
      </w:r>
    </w:p>
    <w:p w14:paraId="0614E820">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（4）鼓励患者少量多次饮水，优先选择冰水或矿泉水。</w:t>
      </w:r>
    </w:p>
    <w:p w14:paraId="795DC13A">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（十</w:t>
      </w:r>
      <w:r>
        <w:rPr>
          <w:rFonts w:hint="eastAsia" w:ascii="仿宋_GB2312" w:hAnsi="仿宋_GB2312" w:eastAsia="仿宋_GB2312" w:cs="仿宋_GB2312"/>
          <w:b/>
          <w:bCs/>
          <w:snapToGrid w:val="0"/>
          <w:kern w:val="0"/>
          <w:sz w:val="32"/>
          <w:szCs w:val="32"/>
          <w:lang w:val="en-US" w:eastAsia="zh-CN" w:bidi="ar-SA"/>
        </w:rPr>
        <w:t>一</w:t>
      </w:r>
      <w:r>
        <w:rPr>
          <w:rFonts w:hint="eastAsia" w:ascii="仿宋_GB2312" w:hAnsi="仿宋_GB2312" w:eastAsia="仿宋_GB2312" w:cs="仿宋_GB2312"/>
          <w:b/>
          <w:bCs/>
          <w:snapToGrid w:val="0"/>
          <w:kern w:val="0"/>
          <w:sz w:val="32"/>
          <w:szCs w:val="32"/>
          <w:lang w:val="en-US" w:eastAsia="en-US" w:bidi="ar-SA"/>
        </w:rPr>
        <w:t>）失眠</w:t>
      </w:r>
    </w:p>
    <w:p w14:paraId="6EA41920">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4E4D85C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（1）积极纠正引起失眠的原因。</w:t>
      </w:r>
    </w:p>
    <w:p w14:paraId="203AEE3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（2）非药物治疗包括芳香疗法、音乐疗法等，避免睡前摄入咖啡、酒精及过量液体。</w:t>
      </w:r>
    </w:p>
    <w:p w14:paraId="454CE14C">
      <w:pPr>
        <w:keepNext w:val="0"/>
        <w:keepLines w:val="0"/>
        <w:pageBreakBefore w:val="0"/>
        <w:widowControl/>
        <w:kinsoku/>
        <w:wordWrap/>
        <w:overflowPunct/>
        <w:topLinePunct w:val="0"/>
        <w:bidi w:val="0"/>
        <w:spacing w:line="59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napToGrid w:val="0"/>
          <w:kern w:val="0"/>
          <w:sz w:val="32"/>
          <w:szCs w:val="32"/>
          <w:lang w:eastAsia="en-US"/>
        </w:rPr>
        <w:t>根据病情合理使用</w:t>
      </w:r>
      <w:r>
        <w:rPr>
          <w:rFonts w:hint="eastAsia" w:ascii="仿宋_GB2312" w:hAnsi="仿宋_GB2312" w:eastAsia="仿宋_GB2312" w:cs="仿宋_GB2312"/>
          <w:snapToGrid w:val="0"/>
          <w:kern w:val="0"/>
          <w:sz w:val="32"/>
          <w:szCs w:val="32"/>
        </w:rPr>
        <w:t>助眠</w:t>
      </w:r>
      <w:r>
        <w:rPr>
          <w:rFonts w:hint="eastAsia" w:ascii="仿宋_GB2312" w:hAnsi="仿宋_GB2312" w:eastAsia="仿宋_GB2312" w:cs="仿宋_GB2312"/>
          <w:snapToGrid w:val="0"/>
          <w:kern w:val="0"/>
          <w:sz w:val="32"/>
          <w:szCs w:val="32"/>
          <w:lang w:eastAsia="en-US"/>
        </w:rPr>
        <w:t>药物。</w:t>
      </w:r>
    </w:p>
    <w:p w14:paraId="342ABB2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11873A4B">
      <w:pPr>
        <w:keepNext w:val="0"/>
        <w:keepLines w:val="0"/>
        <w:pageBreakBefore w:val="0"/>
        <w:widowControl w:val="0"/>
        <w:kinsoku/>
        <w:wordWrap/>
        <w:overflowPunct/>
        <w:topLinePunct w:val="0"/>
        <w:autoSpaceDE w:val="0"/>
        <w:autoSpaceDN w:val="0"/>
        <w:bidi w:val="0"/>
        <w:adjustRightInd w:val="0"/>
        <w:snapToGrid w:val="0"/>
        <w:spacing w:line="590" w:lineRule="exact"/>
        <w:ind w:right="-653" w:rightChars="-204"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（1）改善患者的睡眠环境，如保持床单位舒适、减少夜间强光及噪声刺激等。</w:t>
      </w:r>
    </w:p>
    <w:p w14:paraId="5FB30C5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（2）采取促进患者睡眠的措施，如增加日间活动、听音乐、按摩双手或足部等。</w:t>
      </w:r>
    </w:p>
    <w:p w14:paraId="34C3E1C5">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（3）尊重患者的意愿和生活习惯，观察、评估和沟通贯穿于治疗全过程，不必强行纠正已有的睡眠规律。。</w:t>
      </w:r>
    </w:p>
    <w:p w14:paraId="62C16B9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（4）在使用处方类镇静催眠药物时应告知并注意预防跌倒、低血压等风险。</w:t>
      </w:r>
    </w:p>
    <w:p w14:paraId="3B9D165F">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en-US" w:bidi="ar-SA"/>
        </w:rPr>
        <w:t>（十</w:t>
      </w:r>
      <w:r>
        <w:rPr>
          <w:rFonts w:hint="eastAsia" w:ascii="仿宋_GB2312" w:hAnsi="仿宋_GB2312" w:eastAsia="仿宋_GB2312" w:cs="仿宋_GB2312"/>
          <w:b/>
          <w:bCs/>
          <w:snapToGrid w:val="0"/>
          <w:kern w:val="0"/>
          <w:sz w:val="32"/>
          <w:szCs w:val="32"/>
          <w:lang w:val="en-US" w:eastAsia="zh-CN" w:bidi="ar-SA"/>
        </w:rPr>
        <w:t>二</w:t>
      </w:r>
      <w:r>
        <w:rPr>
          <w:rFonts w:hint="eastAsia" w:ascii="仿宋_GB2312" w:hAnsi="仿宋_GB2312" w:eastAsia="仿宋_GB2312" w:cs="仿宋_GB2312"/>
          <w:b/>
          <w:bCs/>
          <w:snapToGrid w:val="0"/>
          <w:kern w:val="0"/>
          <w:sz w:val="32"/>
          <w:szCs w:val="32"/>
          <w:lang w:val="en-US" w:eastAsia="en-US" w:bidi="ar-SA"/>
        </w:rPr>
        <w:t>）谵妄</w:t>
      </w:r>
    </w:p>
    <w:p w14:paraId="45299C3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29F0344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（1）寻找并纠正患者谵妄的原因，包括药物不良反应、水电解质紊乱、感染、缺氧、疼痛等因素。同时，密切监测并及时处理尿潴留、便秘、跌倒外伤等并发症。</w:t>
      </w:r>
    </w:p>
    <w:p w14:paraId="1B2DFA2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（2）使用合适的保护性约束，充分向患者家属告知病情，并获得知情同意。</w:t>
      </w:r>
    </w:p>
    <w:p w14:paraId="071CE98A">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（3）必要时可使用抗精神病药物控制症状，如氟哌啶醇、奥氮平等。</w:t>
      </w:r>
    </w:p>
    <w:p w14:paraId="3F717EE0">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4283DF2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（1）保持环境安静，避免过度的声光刺激。尽可能使患者处于安全熟悉的环境中，避免引起不必要的注意力转移。</w:t>
      </w:r>
    </w:p>
    <w:p w14:paraId="6105F6C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（2）及时回应患者需求，安抚患者情绪，减轻其恐惧感。</w:t>
      </w:r>
    </w:p>
    <w:p w14:paraId="7401FB93">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（3）当患者出现伤人或自伤行为时，可采取肢体保护等必要的安全措施。</w:t>
      </w:r>
    </w:p>
    <w:p w14:paraId="1A49FDB5">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（4）开展针对性的健康宣教，告知患者家属强制实施约束可能加剧谵妄症状，药物干预可能会导致嗜睡等不良反应。</w:t>
      </w:r>
    </w:p>
    <w:p w14:paraId="3BCFD652">
      <w:pPr>
        <w:keepNext w:val="0"/>
        <w:keepLines w:val="0"/>
        <w:pageBreakBefore w:val="0"/>
        <w:widowControl w:val="0"/>
        <w:kinsoku/>
        <w:wordWrap/>
        <w:overflowPunct/>
        <w:topLinePunct w:val="0"/>
        <w:autoSpaceDE w:val="0"/>
        <w:autoSpaceDN w:val="0"/>
        <w:bidi w:val="0"/>
        <w:adjustRightInd w:val="0"/>
        <w:snapToGrid w:val="0"/>
        <w:spacing w:line="590" w:lineRule="exact"/>
        <w:ind w:firstLine="643" w:firstLineChars="200"/>
        <w:jc w:val="both"/>
        <w:textAlignment w:val="baseline"/>
        <w:outlineLvl w:val="0"/>
        <w:rPr>
          <w:rFonts w:hint="eastAsia" w:ascii="仿宋_GB2312" w:hAnsi="仿宋_GB2312" w:eastAsia="仿宋_GB2312" w:cs="仿宋_GB2312"/>
          <w:b/>
          <w:bCs/>
          <w:snapToGrid w:val="0"/>
          <w:kern w:val="0"/>
          <w:sz w:val="32"/>
          <w:szCs w:val="32"/>
          <w:lang w:val="en-US" w:eastAsia="zh-CN" w:bidi="ar-SA"/>
        </w:rPr>
      </w:pPr>
      <w:r>
        <w:rPr>
          <w:rFonts w:hint="eastAsia" w:ascii="仿宋_GB2312" w:hAnsi="仿宋_GB2312" w:eastAsia="仿宋_GB2312" w:cs="仿宋_GB2312"/>
          <w:b/>
          <w:bCs/>
          <w:snapToGrid w:val="0"/>
          <w:kern w:val="0"/>
          <w:sz w:val="32"/>
          <w:szCs w:val="32"/>
          <w:lang w:val="en-US" w:eastAsia="zh-CN" w:bidi="ar-SA"/>
        </w:rPr>
        <w:t>（十三）窒息</w:t>
      </w:r>
    </w:p>
    <w:p w14:paraId="01A1685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1.治疗原则</w:t>
      </w:r>
    </w:p>
    <w:p w14:paraId="4C9B9B4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（1）对评估范围之外、预料之外的突发窒息应立即采取紧急措施，包括清除呼吸道异物、解除气道梗阻，必要时实施海姆立克急救法及心肺复苏等急救措施。</w:t>
      </w:r>
    </w:p>
    <w:p w14:paraId="6C243F06">
      <w:pPr>
        <w:keepNext w:val="0"/>
        <w:keepLines w:val="0"/>
        <w:pageBreakBefore w:val="0"/>
        <w:widowControl w:val="0"/>
        <w:kinsoku/>
        <w:wordWrap/>
        <w:overflowPunct/>
        <w:topLinePunct w:val="0"/>
        <w:bidi w:val="0"/>
        <w:spacing w:line="590" w:lineRule="exact"/>
        <w:ind w:firstLine="640" w:firstLineChars="200"/>
        <w:jc w:val="both"/>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（2）对于前期经过评估和讨论后发生的窒息，应充分尊重患者及家属的救治意愿，明确治疗目标，选择相应的处理措施。</w:t>
      </w:r>
    </w:p>
    <w:p w14:paraId="46917056">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2.护理要点</w:t>
      </w:r>
    </w:p>
    <w:p w14:paraId="45B63362">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（1）协助医生及时评估发生窒息的风险。</w:t>
      </w:r>
    </w:p>
    <w:p w14:paraId="16A1A91C">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（2）告知患者及家属发生窒息的危险因素、应急处理措施等。</w:t>
      </w:r>
    </w:p>
    <w:p w14:paraId="211BF7AB">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（3）指导患者及家属准确掌握预防呛咳的方法。</w:t>
      </w:r>
    </w:p>
    <w:p w14:paraId="71C10E8D">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p>
    <w:p w14:paraId="5C9D83E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p>
    <w:p w14:paraId="5ECEF089">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p>
    <w:p w14:paraId="3BFF8D4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p>
    <w:p w14:paraId="73BEE178">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p>
    <w:p w14:paraId="6B8CE6C4">
      <w:pPr>
        <w:keepNext w:val="0"/>
        <w:keepLines w:val="0"/>
        <w:pageBreakBefore w:val="0"/>
        <w:widowControl w:val="0"/>
        <w:kinsoku/>
        <w:wordWrap/>
        <w:overflowPunct/>
        <w:topLinePunct w:val="0"/>
        <w:autoSpaceDE w:val="0"/>
        <w:autoSpaceDN w:val="0"/>
        <w:bidi w:val="0"/>
        <w:adjustRightInd w:val="0"/>
        <w:snapToGrid w:val="0"/>
        <w:spacing w:line="590" w:lineRule="exact"/>
        <w:ind w:firstLine="640" w:firstLineChars="200"/>
        <w:jc w:val="both"/>
        <w:textAlignment w:val="baseline"/>
        <w:outlineLvl w:val="0"/>
        <w:rPr>
          <w:rFonts w:hint="eastAsia" w:ascii="仿宋_GB2312" w:hAnsi="仿宋_GB2312" w:eastAsia="仿宋_GB2312" w:cs="仿宋_GB2312"/>
          <w:kern w:val="2"/>
          <w:sz w:val="32"/>
          <w:szCs w:val="32"/>
          <w:lang w:val="en-US" w:eastAsia="zh-CN" w:bidi="ar-SA"/>
        </w:rPr>
      </w:pPr>
    </w:p>
    <w:p w14:paraId="23E8612B">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outlineLvl w:val="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附单项选择题</w:t>
      </w:r>
    </w:p>
    <w:p w14:paraId="23AA0A2E">
      <w:pPr>
        <w:keepNext w:val="0"/>
        <w:keepLines w:val="0"/>
        <w:pageBreakBefore w:val="0"/>
        <w:numPr>
          <w:ilvl w:val="0"/>
          <w:numId w:val="1"/>
        </w:numPr>
        <w:kinsoku/>
        <w:wordWrap/>
        <w:overflowPunct/>
        <w:topLinePunct w:val="0"/>
        <w:bidi w:val="0"/>
        <w:spacing w:line="590" w:lineRule="exact"/>
        <w:jc w:val="both"/>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sz w:val="32"/>
          <w:szCs w:val="32"/>
          <w:lang w:val="en-US" w:eastAsia="zh-CN"/>
        </w:rPr>
        <w:t>终末期患者疼痛治疗原则不恰当的是</w:t>
      </w:r>
      <w:r>
        <w:rPr>
          <w:rFonts w:hint="eastAsia" w:ascii="仿宋_GB2312" w:hAnsi="仿宋_GB2312" w:eastAsia="仿宋_GB2312" w:cs="仿宋_GB2312"/>
          <w:b w:val="0"/>
          <w:bCs w:val="0"/>
          <w:sz w:val="32"/>
          <w:szCs w:val="32"/>
          <w:u w:val="none"/>
          <w:lang w:val="en-US" w:eastAsia="zh-CN"/>
        </w:rPr>
        <w:t>（）</w:t>
      </w:r>
    </w:p>
    <w:p w14:paraId="58CBF8BE">
      <w:pPr>
        <w:keepNext w:val="0"/>
        <w:keepLines w:val="0"/>
        <w:pageBreakBefore w:val="0"/>
        <w:numPr>
          <w:ilvl w:val="0"/>
          <w:numId w:val="2"/>
        </w:numPr>
        <w:kinsoku/>
        <w:wordWrap/>
        <w:overflowPunct/>
        <w:topLinePunct w:val="0"/>
        <w:bidi w:val="0"/>
        <w:spacing w:line="590" w:lineRule="exact"/>
        <w:jc w:val="both"/>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kern w:val="2"/>
          <w:sz w:val="32"/>
          <w:szCs w:val="32"/>
          <w:lang w:val="en-US" w:eastAsia="zh-CN" w:bidi="ar-SA"/>
        </w:rPr>
        <w:t>药物治疗长期使用时，首选口服给药</w:t>
      </w:r>
    </w:p>
    <w:p w14:paraId="4BA426FC">
      <w:pPr>
        <w:keepNext w:val="0"/>
        <w:keepLines w:val="0"/>
        <w:pageBreakBefore w:val="0"/>
        <w:numPr>
          <w:ilvl w:val="0"/>
          <w:numId w:val="2"/>
        </w:numPr>
        <w:kinsoku/>
        <w:wordWrap/>
        <w:overflowPunct/>
        <w:topLinePunct w:val="0"/>
        <w:bidi w:val="0"/>
        <w:spacing w:line="590" w:lineRule="exact"/>
        <w:jc w:val="both"/>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kern w:val="2"/>
          <w:sz w:val="32"/>
          <w:szCs w:val="32"/>
          <w:lang w:val="en-US" w:eastAsia="zh-CN" w:bidi="ar-SA"/>
        </w:rPr>
        <w:t>非甾体类抗炎药是终末期患者中重度疼痛治疗的常用药物</w:t>
      </w:r>
    </w:p>
    <w:p w14:paraId="5568B764">
      <w:pPr>
        <w:keepNext w:val="0"/>
        <w:keepLines w:val="0"/>
        <w:pageBreakBefore w:val="0"/>
        <w:numPr>
          <w:ilvl w:val="0"/>
          <w:numId w:val="2"/>
        </w:numPr>
        <w:kinsoku/>
        <w:wordWrap/>
        <w:overflowPunct/>
        <w:topLinePunct w:val="0"/>
        <w:bidi w:val="0"/>
        <w:spacing w:line="590" w:lineRule="exact"/>
        <w:jc w:val="both"/>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kern w:val="2"/>
          <w:sz w:val="32"/>
          <w:szCs w:val="32"/>
          <w:lang w:val="en-US" w:eastAsia="zh-CN" w:bidi="ar-SA"/>
        </w:rPr>
        <w:t>要注意预防药物的不良反应，应尽早识别并处理</w:t>
      </w:r>
    </w:p>
    <w:p w14:paraId="1DBEDAF9">
      <w:pPr>
        <w:keepNext w:val="0"/>
        <w:keepLines w:val="0"/>
        <w:pageBreakBefore w:val="0"/>
        <w:numPr>
          <w:ilvl w:val="0"/>
          <w:numId w:val="2"/>
        </w:numPr>
        <w:kinsoku/>
        <w:wordWrap/>
        <w:overflowPunct/>
        <w:topLinePunct w:val="0"/>
        <w:bidi w:val="0"/>
        <w:spacing w:line="590" w:lineRule="exact"/>
        <w:jc w:val="both"/>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kern w:val="2"/>
          <w:sz w:val="32"/>
          <w:szCs w:val="32"/>
          <w:lang w:val="en-US" w:eastAsia="zh-CN" w:bidi="ar-SA"/>
        </w:rPr>
        <w:t>难治性疼痛应进行多学科会诊</w:t>
      </w:r>
    </w:p>
    <w:p w14:paraId="7B561C6C">
      <w:pPr>
        <w:keepNext w:val="0"/>
        <w:keepLines w:val="0"/>
        <w:pageBreakBefore w:val="0"/>
        <w:numPr>
          <w:ilvl w:val="0"/>
          <w:numId w:val="1"/>
        </w:numPr>
        <w:kinsoku/>
        <w:wordWrap/>
        <w:overflowPunct/>
        <w:topLinePunct w:val="0"/>
        <w:bidi w:val="0"/>
        <w:spacing w:line="590" w:lineRule="exact"/>
        <w:ind w:left="0" w:leftChars="0" w:firstLine="0" w:firstLineChars="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患者出现呼吸困难，处置措施错误的是（）</w:t>
      </w:r>
    </w:p>
    <w:p w14:paraId="496F3B30">
      <w:pPr>
        <w:keepNext w:val="0"/>
        <w:keepLines w:val="0"/>
        <w:pageBreakBefore w:val="0"/>
        <w:numPr>
          <w:ilvl w:val="0"/>
          <w:numId w:val="3"/>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尊重患者意愿和自主性，不需要家属共同决策</w:t>
      </w:r>
    </w:p>
    <w:p w14:paraId="2E1F0E6A">
      <w:pPr>
        <w:keepNext w:val="0"/>
        <w:keepLines w:val="0"/>
        <w:pageBreakBefore w:val="0"/>
        <w:numPr>
          <w:ilvl w:val="0"/>
          <w:numId w:val="3"/>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难治性呼吸困难可以使用吗啡等阿片类药物，但要避免突然中断药物引发戒断综合征</w:t>
      </w:r>
    </w:p>
    <w:p w14:paraId="5BEE6353">
      <w:pPr>
        <w:keepNext w:val="0"/>
        <w:keepLines w:val="0"/>
        <w:pageBreakBefore w:val="0"/>
        <w:numPr>
          <w:ilvl w:val="0"/>
          <w:numId w:val="3"/>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呼吸困难最佳的治疗措施为治疗原发疾病，保持气道通畅</w:t>
      </w:r>
    </w:p>
    <w:p w14:paraId="10F8903C">
      <w:pPr>
        <w:keepNext w:val="0"/>
        <w:keepLines w:val="0"/>
        <w:pageBreakBefore w:val="0"/>
        <w:numPr>
          <w:ilvl w:val="0"/>
          <w:numId w:val="3"/>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开展健康宣教，告知患者及家属呼吸困难的原因或诱因及减轻和避免呼吸困难的方法。</w:t>
      </w:r>
    </w:p>
    <w:p w14:paraId="33ED47D8">
      <w:pPr>
        <w:keepNext w:val="0"/>
        <w:keepLines w:val="0"/>
        <w:pageBreakBefore w:val="0"/>
        <w:numPr>
          <w:ilvl w:val="0"/>
          <w:numId w:val="1"/>
        </w:numPr>
        <w:kinsoku/>
        <w:wordWrap/>
        <w:overflowPunct/>
        <w:topLinePunct w:val="0"/>
        <w:bidi w:val="0"/>
        <w:spacing w:line="590" w:lineRule="exact"/>
        <w:ind w:left="0" w:leftChars="0" w:firstLine="0" w:firstLine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终末期患者出现咳嗽咳痰困难，哪些措施是不恰当的（）</w:t>
      </w:r>
    </w:p>
    <w:p w14:paraId="3405B872">
      <w:pPr>
        <w:keepNext w:val="0"/>
        <w:keepLines w:val="0"/>
        <w:pageBreakBefore w:val="0"/>
        <w:widowControl w:val="0"/>
        <w:numPr>
          <w:ilvl w:val="0"/>
          <w:numId w:val="4"/>
        </w:numPr>
        <w:kinsoku/>
        <w:wordWrap/>
        <w:overflowPunct/>
        <w:topLinePunct w:val="0"/>
        <w:bidi w:val="0"/>
        <w:spacing w:line="590" w:lineRule="exact"/>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及时清理患者口腔内的分泌物</w:t>
      </w:r>
    </w:p>
    <w:p w14:paraId="46428231">
      <w:pPr>
        <w:keepNext w:val="0"/>
        <w:keepLines w:val="0"/>
        <w:pageBreakBefore w:val="0"/>
        <w:widowControl w:val="0"/>
        <w:numPr>
          <w:ilvl w:val="0"/>
          <w:numId w:val="4"/>
        </w:numPr>
        <w:kinsoku/>
        <w:wordWrap/>
        <w:overflowPunct/>
        <w:topLinePunct w:val="0"/>
        <w:bidi w:val="0"/>
        <w:spacing w:line="590" w:lineRule="exact"/>
        <w:ind w:left="0" w:leftChars="0" w:firstLine="0" w:firstLine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合理控制液体摄入量</w:t>
      </w:r>
    </w:p>
    <w:p w14:paraId="7838D998">
      <w:pPr>
        <w:keepNext w:val="0"/>
        <w:keepLines w:val="0"/>
        <w:pageBreakBefore w:val="0"/>
        <w:widowControl w:val="0"/>
        <w:numPr>
          <w:ilvl w:val="0"/>
          <w:numId w:val="4"/>
        </w:numPr>
        <w:kinsoku/>
        <w:wordWrap/>
        <w:overflowPunct/>
        <w:topLinePunct w:val="0"/>
        <w:bidi w:val="0"/>
        <w:spacing w:line="590" w:lineRule="exact"/>
        <w:ind w:left="0" w:leftChars="0" w:firstLine="0" w:firstLine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咯血、气胸、心脏病风险较高的患者，快速实施拍背、吸痰操作</w:t>
      </w:r>
    </w:p>
    <w:p w14:paraId="139BD988">
      <w:pPr>
        <w:keepNext w:val="0"/>
        <w:keepLines w:val="0"/>
        <w:pageBreakBefore w:val="0"/>
        <w:widowControl w:val="0"/>
        <w:numPr>
          <w:ilvl w:val="0"/>
          <w:numId w:val="4"/>
        </w:numPr>
        <w:kinsoku/>
        <w:wordWrap/>
        <w:overflowPunct/>
        <w:topLinePunct w:val="0"/>
        <w:bidi w:val="0"/>
        <w:spacing w:line="590" w:lineRule="exact"/>
        <w:ind w:left="0" w:leftChars="0" w:firstLine="0" w:firstLine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记录痰液的颜色、性质和量，遵医嘱正确留取痰标本并送检</w:t>
      </w:r>
    </w:p>
    <w:p w14:paraId="2D76BB48">
      <w:pPr>
        <w:keepNext w:val="0"/>
        <w:keepLines w:val="0"/>
        <w:pageBreakBefore w:val="0"/>
        <w:widowControl w:val="0"/>
        <w:numPr>
          <w:ilvl w:val="0"/>
          <w:numId w:val="1"/>
        </w:numPr>
        <w:kinsoku/>
        <w:wordWrap/>
        <w:overflowPunct/>
        <w:topLinePunct w:val="0"/>
        <w:bidi w:val="0"/>
        <w:spacing w:line="590" w:lineRule="exact"/>
        <w:ind w:left="0" w:leftChars="0" w:firstLine="0" w:firstLine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终末期患者出血，护理措施描述错误的是（）</w:t>
      </w:r>
    </w:p>
    <w:p w14:paraId="1E126B01">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针对大出血患者，积极采取输血、气管插管等延长生命的抢救措施。</w:t>
      </w:r>
    </w:p>
    <w:p w14:paraId="06DB4E70">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90" w:lineRule="exact"/>
        <w:ind w:left="0" w:leftChars="0" w:firstLine="0" w:firstLineChars="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保持咯血、呕血患者气道通畅，及时清理口鼻腔血液,床旁备吸引器。</w:t>
      </w:r>
    </w:p>
    <w:p w14:paraId="602B85BD">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90" w:lineRule="exact"/>
        <w:ind w:left="0" w:leftChars="0" w:firstLine="0" w:firstLineChars="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安抚患者及家属，缓解其紧张和恐惧等情绪</w:t>
      </w:r>
    </w:p>
    <w:p w14:paraId="75642FFE">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90" w:lineRule="exact"/>
        <w:ind w:left="0" w:leftChars="0" w:firstLine="0" w:firstLineChars="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呕血、便血期间遵医嘱禁止饮食。</w:t>
      </w:r>
    </w:p>
    <w:p w14:paraId="33CE9992">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firstLine="0" w:firstLineChars="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患者出现恶心呕吐，正确的处置是（）</w:t>
      </w:r>
    </w:p>
    <w:p w14:paraId="12C4083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A.协助患者取坐位或侧卧位，预防误吸。</w:t>
      </w:r>
    </w:p>
    <w:p w14:paraId="5F0F4AD7">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B.呕吐后不需要更换清洁床单和衣裤，增加患者痛苦。</w:t>
      </w:r>
    </w:p>
    <w:p w14:paraId="75B7083C">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C.剧烈呕吐时少量进食，遵医嘱补充水分和电解质。</w:t>
      </w:r>
    </w:p>
    <w:p w14:paraId="64C12B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D.化学治疗所致，首选地塞米松减轻胃肠不适</w:t>
      </w:r>
    </w:p>
    <w:p w14:paraId="4EE943B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6、针对终末期患者出现水肿，护理措施不合理的是（）</w:t>
      </w:r>
    </w:p>
    <w:p w14:paraId="5C9AD2F8">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A.抬高患者水肿部位</w:t>
      </w:r>
    </w:p>
    <w:p w14:paraId="32186922">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B.加强皮肤护理，保持清洁、干燥，避免发生感染，必要时涂抹保湿乳霜</w:t>
      </w:r>
    </w:p>
    <w:p w14:paraId="2287AA7E">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C.轻度水肿患者应卧床休息</w:t>
      </w:r>
    </w:p>
    <w:p w14:paraId="286AB854">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D.限制钠盐和水分的摄入，根据病情摄入适当蛋白质。</w:t>
      </w:r>
    </w:p>
    <w:p w14:paraId="4891CF35">
      <w:pPr>
        <w:keepNext w:val="0"/>
        <w:keepLines w:val="0"/>
        <w:pageBreakBefore w:val="0"/>
        <w:widowControl w:val="0"/>
        <w:numPr>
          <w:ilvl w:val="0"/>
          <w:numId w:val="0"/>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7、对于发热的终末期患者，如何正确处置（）</w:t>
      </w:r>
    </w:p>
    <w:p w14:paraId="5CD5A6A7">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A.低热时就可以使用退热药物</w:t>
      </w:r>
    </w:p>
    <w:p w14:paraId="38218E7A">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B.高热患者应给予首选温水擦浴</w:t>
      </w:r>
    </w:p>
    <w:p w14:paraId="0014FDFD">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C.注意观察患者在降温过程中及降温后的反应，避免虚脱</w:t>
      </w:r>
    </w:p>
    <w:p w14:paraId="796D66AF">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D.降温15分钟后复测患者体温</w:t>
      </w:r>
    </w:p>
    <w:p w14:paraId="3F8C1BF1">
      <w:pPr>
        <w:keepNext w:val="0"/>
        <w:keepLines w:val="0"/>
        <w:pageBreakBefore w:val="0"/>
        <w:widowControl w:val="0"/>
        <w:numPr>
          <w:ilvl w:val="0"/>
          <w:numId w:val="0"/>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8、患者出现口干，干预原则不恰当的是（）</w:t>
      </w:r>
    </w:p>
    <w:p w14:paraId="3BEE2DD9">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A.调整室内适宜温湿度，避免空气干燥</w:t>
      </w:r>
    </w:p>
    <w:p w14:paraId="21CA3939">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B.加强口腔护理，指导患者掌握正确的含漱方法</w:t>
      </w:r>
    </w:p>
    <w:p w14:paraId="752572A6">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C.必要时强行剥脱血痂、表面覆膜等</w:t>
      </w:r>
    </w:p>
    <w:p w14:paraId="44ED90CD">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D.鼓励患者少量多次饮水，优先选择冰水或矿泉水</w:t>
      </w:r>
    </w:p>
    <w:p w14:paraId="39E85087">
      <w:pPr>
        <w:keepNext w:val="0"/>
        <w:keepLines w:val="0"/>
        <w:pageBreakBefore w:val="0"/>
        <w:numPr>
          <w:ilvl w:val="0"/>
          <w:numId w:val="0"/>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9、预防窒息，重要的措施是（）</w:t>
      </w:r>
    </w:p>
    <w:p w14:paraId="3DC1D7C7">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A.协助医生及时评估发生窒息的风险</w:t>
      </w:r>
    </w:p>
    <w:p w14:paraId="41E4D17D">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B.告知患者及家属发生窒息的危险因素、应急处理措施等</w:t>
      </w:r>
    </w:p>
    <w:p w14:paraId="4D5639B7">
      <w:pPr>
        <w:keepNext w:val="0"/>
        <w:keepLines w:val="0"/>
        <w:pageBreakBefore w:val="0"/>
        <w:numPr>
          <w:ilvl w:val="0"/>
          <w:numId w:val="0"/>
        </w:numPr>
        <w:kinsoku/>
        <w:wordWrap/>
        <w:overflowPunct/>
        <w:topLinePunct w:val="0"/>
        <w:bidi w:val="0"/>
        <w:spacing w:line="590" w:lineRule="exact"/>
        <w:ind w:left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C.指导患者及家属准确掌握预防呛咳的方法</w:t>
      </w:r>
    </w:p>
    <w:p w14:paraId="6F7D7C6F">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D.对突发窒息应立即采取紧急措施，包括清除呼吸道异物、解除气道梗阻，必要时实施海姆立克急救法及心肺复苏等急救措施,应充分尊重患者及家属的救治意愿</w:t>
      </w:r>
    </w:p>
    <w:p w14:paraId="17FACEE0">
      <w:pPr>
        <w:keepNext w:val="0"/>
        <w:keepLines w:val="0"/>
        <w:pageBreakBefore w:val="0"/>
        <w:numPr>
          <w:ilvl w:val="0"/>
          <w:numId w:val="0"/>
        </w:numPr>
        <w:kinsoku/>
        <w:wordWrap/>
        <w:overflowPunct/>
        <w:topLinePunct w:val="0"/>
        <w:bidi w:val="0"/>
        <w:spacing w:line="590" w:lineRule="exact"/>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E.以上措施都对</w:t>
      </w:r>
    </w:p>
    <w:p w14:paraId="5A00ED51">
      <w:pPr>
        <w:keepNext w:val="0"/>
        <w:keepLines w:val="0"/>
        <w:pageBreakBefore w:val="0"/>
        <w:numPr>
          <w:ilvl w:val="0"/>
          <w:numId w:val="0"/>
        </w:numPr>
        <w:kinsoku/>
        <w:wordWrap/>
        <w:overflowPunct/>
        <w:topLinePunct w:val="0"/>
        <w:bidi w:val="0"/>
        <w:spacing w:line="590" w:lineRule="exact"/>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10、患者发生谵妄，处置措施合理的是（）。</w:t>
      </w:r>
    </w:p>
    <w:p w14:paraId="7D1ED7E9">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A.保持环境安静，避免过度的声光刺激,尽可能使患者处于安全熟悉的环境中。</w:t>
      </w:r>
    </w:p>
    <w:p w14:paraId="46D01330">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B.及时回应患者需求，安抚患者情绪，减轻其恐惧感。</w:t>
      </w:r>
    </w:p>
    <w:p w14:paraId="039E4664">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C.当患者出现伤人或自伤行为时，可采取肢体保护等必要的安全措施。</w:t>
      </w:r>
    </w:p>
    <w:p w14:paraId="3B25C42A">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D.开展针对性的健康宣教，告知患者家属强制实施约束可能加剧谵妄症状。</w:t>
      </w:r>
    </w:p>
    <w:p w14:paraId="4E3483CA">
      <w:pPr>
        <w:keepNext w:val="0"/>
        <w:keepLines w:val="0"/>
        <w:pageBreakBefore w:val="0"/>
        <w:widowControl w:val="0"/>
        <w:kinsoku/>
        <w:wordWrap/>
        <w:overflowPunct/>
        <w:topLinePunct w:val="0"/>
        <w:autoSpaceDE w:val="0"/>
        <w:autoSpaceDN w:val="0"/>
        <w:bidi w:val="0"/>
        <w:adjustRightInd w:val="0"/>
        <w:snapToGrid w:val="0"/>
        <w:spacing w:line="590" w:lineRule="exact"/>
        <w:jc w:val="both"/>
        <w:textAlignment w:val="baseline"/>
        <w:rPr>
          <w:rFonts w:hint="eastAsia" w:eastAsia="仿宋_GB2312"/>
          <w:lang w:val="en-US" w:eastAsia="zh-CN"/>
        </w:rPr>
      </w:pPr>
      <w:r>
        <w:rPr>
          <w:rFonts w:hint="eastAsia" w:ascii="仿宋_GB2312" w:hAnsi="仿宋_GB2312" w:eastAsia="仿宋_GB2312" w:cs="仿宋_GB2312"/>
          <w:b w:val="0"/>
          <w:bCs w:val="0"/>
          <w:kern w:val="2"/>
          <w:sz w:val="32"/>
          <w:szCs w:val="32"/>
          <w:lang w:val="en-US" w:eastAsia="zh-CN" w:bidi="ar-SA"/>
        </w:rPr>
        <w:t>E.以上都合理</w:t>
      </w:r>
    </w:p>
    <w:p w14:paraId="79D147DF">
      <w:pPr>
        <w:spacing w:line="360" w:lineRule="auto"/>
        <w:rPr>
          <w:rFonts w:hint="eastAsia" w:eastAsia="仿宋_GB2312"/>
          <w:lang w:val="en-US" w:eastAsia="zh-CN"/>
        </w:rPr>
      </w:pPr>
    </w:p>
    <w:p w14:paraId="4621567D">
      <w:pPr>
        <w:spacing w:line="360" w:lineRule="auto"/>
        <w:rPr>
          <w:rFonts w:hint="eastAsia" w:eastAsia="仿宋_GB2312"/>
          <w:lang w:val="en-US" w:eastAsia="zh-CN"/>
        </w:rPr>
      </w:pPr>
    </w:p>
    <w:p w14:paraId="03EB905A">
      <w:pPr>
        <w:spacing w:line="360" w:lineRule="auto"/>
        <w:rPr>
          <w:rFonts w:hint="eastAsia" w:eastAsia="仿宋_GB2312"/>
          <w:lang w:val="en-US" w:eastAsia="zh-CN"/>
        </w:rPr>
      </w:pPr>
    </w:p>
    <w:p w14:paraId="7AC9DD86">
      <w:pPr>
        <w:spacing w:line="360" w:lineRule="auto"/>
        <w:rPr>
          <w:rFonts w:hint="eastAsia" w:eastAsia="仿宋_GB2312"/>
          <w:lang w:val="en-US" w:eastAsia="zh-CN"/>
        </w:rPr>
      </w:pPr>
    </w:p>
    <w:p w14:paraId="3B71F254">
      <w:pPr>
        <w:spacing w:line="360" w:lineRule="auto"/>
        <w:rPr>
          <w:rFonts w:hint="default" w:eastAsia="仿宋_GB2312"/>
          <w:lang w:val="en-US" w:eastAsia="zh-CN"/>
        </w:rPr>
      </w:pPr>
    </w:p>
    <w:sectPr>
      <w:pgSz w:w="11906" w:h="16838"/>
      <w:pgMar w:top="1814" w:right="1587" w:bottom="1701" w:left="1587" w:header="851" w:footer="992" w:gutter="0"/>
      <w:paperSrc/>
      <w:cols w:space="0" w:num="1"/>
      <w:rtlGutter w:val="0"/>
      <w:docGrid w:type="lines" w:linePitch="44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F6A76"/>
    <w:multiLevelType w:val="singleLevel"/>
    <w:tmpl w:val="8E6F6A76"/>
    <w:lvl w:ilvl="0" w:tentative="0">
      <w:start w:val="1"/>
      <w:numFmt w:val="upperLetter"/>
      <w:lvlText w:val="%1."/>
      <w:lvlJc w:val="left"/>
      <w:pPr>
        <w:tabs>
          <w:tab w:val="left" w:pos="312"/>
        </w:tabs>
      </w:pPr>
    </w:lvl>
  </w:abstractNum>
  <w:abstractNum w:abstractNumId="1">
    <w:nsid w:val="CC5A94F5"/>
    <w:multiLevelType w:val="singleLevel"/>
    <w:tmpl w:val="CC5A94F5"/>
    <w:lvl w:ilvl="0" w:tentative="0">
      <w:start w:val="1"/>
      <w:numFmt w:val="upperLetter"/>
      <w:lvlText w:val="%1."/>
      <w:lvlJc w:val="left"/>
      <w:pPr>
        <w:tabs>
          <w:tab w:val="left" w:pos="312"/>
        </w:tabs>
      </w:pPr>
    </w:lvl>
  </w:abstractNum>
  <w:abstractNum w:abstractNumId="2">
    <w:nsid w:val="D27D8741"/>
    <w:multiLevelType w:val="singleLevel"/>
    <w:tmpl w:val="D27D8741"/>
    <w:lvl w:ilvl="0" w:tentative="0">
      <w:start w:val="1"/>
      <w:numFmt w:val="upperLetter"/>
      <w:lvlText w:val="%1."/>
      <w:lvlJc w:val="left"/>
      <w:pPr>
        <w:tabs>
          <w:tab w:val="left" w:pos="312"/>
        </w:tabs>
      </w:pPr>
    </w:lvl>
  </w:abstractNum>
  <w:abstractNum w:abstractNumId="3">
    <w:nsid w:val="E3FD1C12"/>
    <w:multiLevelType w:val="singleLevel"/>
    <w:tmpl w:val="E3FD1C12"/>
    <w:lvl w:ilvl="0" w:tentative="0">
      <w:start w:val="1"/>
      <w:numFmt w:val="decimal"/>
      <w:suff w:val="nothing"/>
      <w:lvlText w:val="%1、"/>
      <w:lvlJc w:val="left"/>
    </w:lvl>
  </w:abstractNum>
  <w:abstractNum w:abstractNumId="4">
    <w:nsid w:val="4A7AC997"/>
    <w:multiLevelType w:val="singleLevel"/>
    <w:tmpl w:val="4A7AC997"/>
    <w:lvl w:ilvl="0" w:tentative="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2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3263CD"/>
    <w:rsid w:val="175012A4"/>
    <w:rsid w:val="1FAD0848"/>
    <w:rsid w:val="283263CD"/>
    <w:rsid w:val="3614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jc w:val="both"/>
    </w:pPr>
    <w:rPr>
      <w:rFonts w:ascii="Calibri" w:hAnsi="Calibri" w:eastAsia="华文仿宋"/>
      <w:kern w:val="2"/>
      <w:sz w:val="32"/>
      <w:szCs w:val="24"/>
      <w:lang w:val="en-US" w:eastAsia="zh-CN" w:bidi="ar-SA"/>
    </w:rPr>
  </w:style>
  <w:style w:type="paragraph" w:styleId="3">
    <w:name w:val="toc 5"/>
    <w:next w:val="1"/>
    <w:qFormat/>
    <w:uiPriority w:val="0"/>
    <w:pPr>
      <w:widowControl w:val="0"/>
      <w:ind w:left="1680" w:leftChars="800"/>
      <w:jc w:val="both"/>
    </w:pPr>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5375</Words>
  <Characters>5441</Characters>
  <Lines>0</Lines>
  <Paragraphs>0</Paragraphs>
  <TotalTime>12</TotalTime>
  <ScaleCrop>false</ScaleCrop>
  <LinksUpToDate>false</LinksUpToDate>
  <CharactersWithSpaces>5448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2026-01-24T01:35:00Z</dcterms:created>
  <dc:creator>宋了尘</dc:creator>
  <cp:lastModifiedBy>轻舞飞扬</cp:lastModifiedBy>
  <dcterms:modified xsi:type="dcterms:W3CDTF">2026-03-17T01:09:22Z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0BC575E8C1614416AB47C03295EDBAE4_11</vt:lpwstr>
  </property>
  <property fmtid="{D5CDD505-2E9C-101B-9397-08002B2CF9AE}" pid="4" name="KSOTemplateDocerSaveRecord">
    <vt:lpwstr>eyJoZGlkIjoiODBmNTMzZjkzYzI0YjY0ZTVkNDZkMTM4NTY2ZGEwNjciLCJ1c2VySWQiOiI1OTU4NDk1MTUifQ==</vt:lpwstr>
  </property>
</Properties>
</file>